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  <w:t>宜昌市青少年宫低值易耗品采购</w:t>
      </w:r>
      <w:r>
        <w:rPr>
          <w:rFonts w:hint="eastAsia" w:ascii="楷体_GB2312" w:hAnsi="楷体_GB2312" w:eastAsia="楷体_GB2312" w:cs="楷体_GB2312"/>
          <w:b/>
          <w:bCs/>
          <w:sz w:val="36"/>
          <w:szCs w:val="36"/>
        </w:rPr>
        <w:t>询价单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00" w:lineRule="exact"/>
        <w:ind w:right="0" w:rightChars="0" w:firstLine="280" w:firstLineChars="1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询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价 </w:t>
      </w:r>
      <w:r>
        <w:rPr>
          <w:rFonts w:hint="eastAsia" w:ascii="楷体_GB2312" w:hAnsi="楷体_GB2312" w:eastAsia="楷体_GB2312" w:cs="楷体_GB2312"/>
          <w:sz w:val="28"/>
          <w:szCs w:val="28"/>
        </w:rPr>
        <w:t>单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</w:rPr>
        <w:t>位：宜昌市青少年宫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报价单位（公章）：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280" w:firstLineChars="1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lang w:val="en-US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联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28"/>
          <w:szCs w:val="28"/>
        </w:rPr>
        <w:t>系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</w:rPr>
        <w:t>人：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罗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元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辛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>联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28"/>
          <w:szCs w:val="28"/>
        </w:rPr>
        <w:t>系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</w:rPr>
        <w:t>人：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280" w:firstLineChars="1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电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>话：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19807179315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28"/>
          <w:szCs w:val="28"/>
        </w:rPr>
        <w:t>电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>话：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right="0" w:rightChars="0" w:firstLine="280" w:firstLineChars="100"/>
        <w:jc w:val="both"/>
        <w:textAlignment w:val="auto"/>
        <w:outlineLvl w:val="9"/>
        <w:rPr>
          <w:rFonts w:hint="default" w:ascii="楷体_GB2312" w:hAnsi="楷体_GB2312" w:eastAsia="楷体_GB2312" w:cs="楷体_GB2312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询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价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日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期：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报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价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日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期：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根据我宫日常办公需要，拟采购以下列表所涉及的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u w:val="single"/>
          <w:lang w:val="en-US" w:eastAsia="zh-CN"/>
        </w:rPr>
        <w:t>办公用品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，现特向贵单位发送询价单，望贵单位本着价格实事求是、商品保质保量、服务诚实守信的原则如实报价。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一、询价清单：</w:t>
      </w:r>
    </w:p>
    <w:tbl>
      <w:tblPr>
        <w:tblStyle w:val="4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409"/>
        <w:gridCol w:w="2206"/>
        <w:gridCol w:w="2358"/>
        <w:gridCol w:w="462"/>
        <w:gridCol w:w="85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品牌及型号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快干印台（红）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得力9863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订书机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得力0434订书机机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订书针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得力0012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盒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宽透明胶带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得力30325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窄透明胶带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得力30248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5号电池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南孚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对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7号电池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南孚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对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标签纸（红）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401.056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包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大号长尾夹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广博010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盒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中号长尾夹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广博007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盒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小号长尾夹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广博006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盒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小号装订夹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国产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盒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回形针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得力0018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盒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图钉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得力0020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盒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大头针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得力0016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盒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0.5中性笔（黑、红）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真彩009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盒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0.5中性笔芯（黑、红）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真彩919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盒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圆珠笔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天骄105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盒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白板笔（黑）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东洋528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盒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细油性记号笔（黑）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听雨轩4127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盒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粗油性记号笔（黑、红、蓝）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宝克220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盒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15g固体胶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南韩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塑料文件扣袋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三石HY332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包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牛皮纸档案袋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1808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包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备课本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100页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本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服务台笔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宝克890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双面胶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得力30434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泡沫胶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得力411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白板磁力扣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永益3012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板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粉笔（白）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飞天牌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件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剪刀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得力6009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把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美工刀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得力2061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把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塑料文件夹（蓝、红）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蓝广博2081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红广博2051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备课本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50页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本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19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单价合计</w:t>
            </w:r>
          </w:p>
        </w:tc>
        <w:tc>
          <w:tcPr>
            <w:tcW w:w="58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大写：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结算及付款方式：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交货方式：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u w:val="single"/>
          <w:lang w:val="en-US" w:eastAsia="zh-CN"/>
        </w:rPr>
        <w:t>送货上门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sz w:val="28"/>
          <w:szCs w:val="28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续签条件：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在商品价格、质量和服务等协议条款不变更的前提下，可在第一年协议期满后，与原成交协议供应商续签合同，续签合同期限为3年。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1、报价单位必须具备上列商品的经营销售资格，并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将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u w:val="none"/>
          <w:lang w:val="en-US" w:eastAsia="zh-CN"/>
        </w:rPr>
        <w:t>营业执照复印件作为附件与本询价单一并钉装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2、本询价单为合同的组成部分，本询价单中的商品报价为最终结算金额；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3、所列清单如有不详，报价单位可自行列清单报价。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2B831C"/>
    <w:multiLevelType w:val="singleLevel"/>
    <w:tmpl w:val="432B831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6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2022-04-14T04:22:42Z</dcterms:created>
  <dc:creator>DELL</dc:creator>
  <cp:lastModifiedBy>DELL</cp:lastModifiedBy>
  <dcterms:modified xsi:type="dcterms:W3CDTF">2022-04-14T04:22:48Z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591A987C537F4515AD7157389A059A11</vt:lpwstr>
  </property>
</Properties>
</file>